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p>
    <w:p w:rsidR="00343CA1" w:rsidP="00343CA1">
      <w:pPr>
        <w:spacing w:line="480" w:lineRule="auto"/>
        <w:jc w:val="center"/>
        <w:rPr>
          <w:rFonts w:ascii="Times New Roman" w:hAnsi="Times New Roman" w:cs="Times New Roman"/>
          <w:sz w:val="24"/>
          <w:szCs w:val="24"/>
        </w:rPr>
      </w:pPr>
      <w:r>
        <w:rPr>
          <w:rFonts w:ascii="Times New Roman" w:hAnsi="Times New Roman" w:cs="Times New Roman"/>
          <w:sz w:val="24"/>
          <w:szCs w:val="24"/>
        </w:rPr>
        <w:t>EBPs</w:t>
      </w:r>
      <w:r w:rsidRPr="00343CA1">
        <w:rPr>
          <w:rFonts w:ascii="Times New Roman" w:hAnsi="Times New Roman" w:cs="Times New Roman"/>
          <w:sz w:val="24"/>
          <w:szCs w:val="24"/>
        </w:rPr>
        <w:t xml:space="preserve"> AND THE QUADRUPLE AIM</w:t>
      </w:r>
    </w:p>
    <w:p w:rsidR="00343CA1" w:rsidP="00343CA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3CA1" w:rsidP="00343CA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343CA1" w:rsidP="00343CA1">
      <w:pPr>
        <w:spacing w:line="480" w:lineRule="auto"/>
        <w:ind w:firstLine="720"/>
        <w:rPr>
          <w:rFonts w:ascii="Times New Roman" w:hAnsi="Times New Roman" w:cs="Times New Roman"/>
          <w:sz w:val="24"/>
          <w:szCs w:val="24"/>
        </w:rPr>
      </w:pPr>
    </w:p>
    <w:p w:rsidR="00343CA1" w:rsidP="00343CA1">
      <w:pPr>
        <w:spacing w:line="480" w:lineRule="auto"/>
        <w:ind w:firstLine="720"/>
        <w:rPr>
          <w:rFonts w:ascii="Times New Roman" w:hAnsi="Times New Roman" w:cs="Times New Roman"/>
          <w:sz w:val="24"/>
          <w:szCs w:val="24"/>
        </w:rPr>
      </w:pPr>
    </w:p>
    <w:p w:rsidR="00343CA1" w:rsidP="00343CA1">
      <w:pPr>
        <w:spacing w:line="480" w:lineRule="auto"/>
        <w:ind w:firstLine="720"/>
        <w:rPr>
          <w:rFonts w:ascii="Times New Roman" w:hAnsi="Times New Roman" w:cs="Times New Roman"/>
          <w:sz w:val="24"/>
          <w:szCs w:val="24"/>
        </w:rPr>
      </w:pPr>
    </w:p>
    <w:p w:rsidR="00343CA1" w:rsidP="00343CA1">
      <w:pPr>
        <w:spacing w:line="480" w:lineRule="auto"/>
        <w:ind w:firstLine="720"/>
        <w:rPr>
          <w:rFonts w:ascii="Times New Roman" w:hAnsi="Times New Roman" w:cs="Times New Roman"/>
          <w:sz w:val="24"/>
          <w:szCs w:val="24"/>
        </w:rPr>
      </w:pPr>
    </w:p>
    <w:p w:rsidR="00343CA1" w:rsidP="00343CA1">
      <w:pPr>
        <w:spacing w:line="480" w:lineRule="auto"/>
        <w:rPr>
          <w:rFonts w:ascii="Times New Roman" w:hAnsi="Times New Roman" w:cs="Times New Roman"/>
          <w:sz w:val="24"/>
          <w:szCs w:val="24"/>
        </w:rPr>
      </w:pPr>
    </w:p>
    <w:p w:rsidR="003D1B26" w:rsidRPr="00343CA1" w:rsidP="00343CA1">
      <w:pPr>
        <w:spacing w:line="480" w:lineRule="auto"/>
        <w:ind w:firstLine="720"/>
        <w:rPr>
          <w:rFonts w:ascii="Times New Roman" w:hAnsi="Times New Roman" w:cs="Times New Roman"/>
          <w:sz w:val="24"/>
          <w:szCs w:val="24"/>
        </w:rPr>
      </w:pPr>
      <w:r w:rsidRPr="00343CA1">
        <w:rPr>
          <w:rFonts w:ascii="Times New Roman" w:hAnsi="Times New Roman" w:cs="Times New Roman"/>
          <w:sz w:val="24"/>
          <w:szCs w:val="24"/>
        </w:rPr>
        <w:t xml:space="preserve">The quadruple aim consists of four major healthcare objectives that were put in place to embrace an extensive approach towards healthcare improvement. These goals include the development of the population's health, enhancement of the patient-care experience, enhancement of the work-life of health care providers, and the deduction of health-care costs. Evidence-based practice is the </w:t>
      </w:r>
      <w:r w:rsidRPr="00343CA1" w:rsidR="00E42B6A">
        <w:rPr>
          <w:rFonts w:ascii="Times New Roman" w:hAnsi="Times New Roman" w:cs="Times New Roman"/>
          <w:sz w:val="24"/>
          <w:szCs w:val="24"/>
        </w:rPr>
        <w:t>integration</w:t>
      </w:r>
      <w:r w:rsidRPr="00343CA1">
        <w:rPr>
          <w:rFonts w:ascii="Times New Roman" w:hAnsi="Times New Roman" w:cs="Times New Roman"/>
          <w:sz w:val="24"/>
          <w:szCs w:val="24"/>
        </w:rPr>
        <w:t xml:space="preserve"> of </w:t>
      </w:r>
      <w:r w:rsidRPr="00343CA1" w:rsidR="00E42B6A">
        <w:rPr>
          <w:rFonts w:ascii="Times New Roman" w:hAnsi="Times New Roman" w:cs="Times New Roman"/>
          <w:sz w:val="24"/>
          <w:szCs w:val="24"/>
        </w:rPr>
        <w:t>scientific evidence in decision making and healthcare practice. The relationship between the quadruple aim and EBP is that they both share similar desired effects in the health-care practice. Their objectives include enhancement of patient outcomes, patient and provider experience, and lowering of healthcare costs. Evidence-based practice complements the quadruple aims in the achievement of these objectives. Consequently, quadruple aim relies heavily on the utilization of scientific-based evidence for making decisions in the clinical environment.
</w:t>
      </w:r>
    </w:p>
    <w:p w:rsidR="00E42B6A" w:rsidRPr="00343CA1" w:rsidP="00343CA1">
      <w:pPr>
        <w:spacing w:line="480" w:lineRule="auto"/>
        <w:ind w:firstLine="720"/>
        <w:rPr>
          <w:rFonts w:ascii="Times New Roman" w:hAnsi="Times New Roman" w:cs="Times New Roman"/>
          <w:sz w:val="24"/>
          <w:szCs w:val="24"/>
        </w:rPr>
      </w:pPr>
      <w:r w:rsidRPr="00343CA1">
        <w:rPr>
          <w:rFonts w:ascii="Times New Roman" w:hAnsi="Times New Roman" w:cs="Times New Roman"/>
          <w:sz w:val="24"/>
          <w:szCs w:val="24"/>
        </w:rPr>
        <w:t xml:space="preserve">Improving the experience of the patient is among the quadruple aims. It entails improving the healthcare services quality </w:t>
      </w:r>
      <w:r w:rsidRPr="00343CA1" w:rsidR="001A5AE2">
        <w:rPr>
          <w:rFonts w:ascii="Times New Roman" w:hAnsi="Times New Roman" w:cs="Times New Roman"/>
          <w:sz w:val="24"/>
          <w:szCs w:val="24"/>
        </w:rPr>
        <w:t>that is given to patients in any of the healthcare facilities with respect to increasing efficiency, holistic approach, patient education, and holistic approach to equip all patients with self-care skills. The main aim is to eradicate any complications that could arise in the process of medical procedures. To attain this objective, healthcare initiatives that have already been proven effective through scientific research and studies are used</w:t>
      </w:r>
      <w:r w:rsidRPr="00343CA1" w:rsidR="00343CA1">
        <w:rPr>
          <w:rFonts w:ascii="Times New Roman" w:hAnsi="Times New Roman" w:cs="Times New Roman"/>
          <w:sz w:val="24"/>
          <w:szCs w:val="24"/>
        </w:rPr>
        <w:t xml:space="preserve"> (</w:t>
      </w:r>
      <w:r w:rsidRPr="00343CA1" w:rsidR="00343CA1">
        <w:rPr>
          <w:rFonts w:ascii="Times New Roman" w:hAnsi="Times New Roman" w:cs="Times New Roman"/>
          <w:color w:val="13242A"/>
          <w:sz w:val="24"/>
          <w:szCs w:val="24"/>
        </w:rPr>
        <w:t>Bodenheimer, 2016</w:t>
      </w:r>
      <w:r w:rsidRPr="00343CA1" w:rsidR="00343CA1">
        <w:rPr>
          <w:rFonts w:ascii="Times New Roman" w:hAnsi="Times New Roman" w:cs="Times New Roman"/>
          <w:sz w:val="24"/>
          <w:szCs w:val="24"/>
        </w:rPr>
        <w:t>)</w:t>
      </w:r>
      <w:r w:rsidRPr="00343CA1" w:rsidR="001A5AE2">
        <w:rPr>
          <w:rFonts w:ascii="Times New Roman" w:hAnsi="Times New Roman" w:cs="Times New Roman"/>
          <w:sz w:val="24"/>
          <w:szCs w:val="24"/>
        </w:rPr>
        <w:t>. For example, while care providers are offering patients education, they employ methods of teaching that have been effectively proven to function for the particular groups of patients. Besides, evidence-based practice has primarily been used in addressing the hiking quality issues such as infections and illnesses acquired from hospitals and the ever-rising rate of patient re-admission in healthcare facilities.
</w:t>
      </w:r>
    </w:p>
    <w:p w:rsidR="008B1901" w:rsidP="00343CA1">
      <w:pPr>
        <w:spacing w:line="480" w:lineRule="auto"/>
        <w:ind w:firstLine="720"/>
        <w:rPr>
          <w:rFonts w:ascii="Times New Roman" w:hAnsi="Times New Roman" w:cs="Times New Roman"/>
          <w:sz w:val="24"/>
          <w:szCs w:val="24"/>
        </w:rPr>
      </w:pPr>
      <w:r w:rsidRPr="00343CA1">
        <w:rPr>
          <w:rFonts w:ascii="Times New Roman" w:hAnsi="Times New Roman" w:cs="Times New Roman"/>
          <w:sz w:val="24"/>
          <w:szCs w:val="24"/>
        </w:rPr>
        <w:t>The other pillar of quadruple aim is to also upgrade population health. This entails adapting to a group approach in the promotion of healthcare services to achieve an enhanced quality of the general population's health, therefore, lowering the severity, prevalence of the disease, and illness burden in the society. The goal is achieved by employing evidence-based practice in the treatment and prevention of diseases in the community</w:t>
      </w:r>
      <w:r w:rsidRPr="00343CA1" w:rsidR="00343CA1">
        <w:rPr>
          <w:rFonts w:ascii="Times New Roman" w:hAnsi="Times New Roman" w:cs="Times New Roman"/>
          <w:sz w:val="24"/>
          <w:szCs w:val="24"/>
        </w:rPr>
        <w:t xml:space="preserve"> (</w:t>
      </w:r>
      <w:r w:rsidRPr="00343CA1" w:rsidR="00343CA1">
        <w:rPr>
          <w:rFonts w:ascii="Times New Roman" w:hAnsi="Times New Roman" w:cs="Times New Roman"/>
          <w:color w:val="13242A"/>
          <w:sz w:val="24"/>
          <w:szCs w:val="24"/>
        </w:rPr>
        <w:t>Bodenheimer, 2016</w:t>
      </w:r>
      <w:r w:rsidRPr="00343CA1" w:rsidR="00343CA1">
        <w:rPr>
          <w:rFonts w:ascii="Times New Roman" w:hAnsi="Times New Roman" w:cs="Times New Roman"/>
          <w:sz w:val="24"/>
          <w:szCs w:val="24"/>
        </w:rPr>
        <w:t>)</w:t>
      </w:r>
      <w:r w:rsidRPr="00343CA1">
        <w:rPr>
          <w:rFonts w:ascii="Times New Roman" w:hAnsi="Times New Roman" w:cs="Times New Roman"/>
          <w:sz w:val="24"/>
          <w:szCs w:val="24"/>
        </w:rPr>
        <w:t xml:space="preserve">. These may include amalgamating evidence in designing society health promotion activities and programs that </w:t>
      </w:r>
      <w:r w:rsidRPr="00343CA1" w:rsidR="00B94A6F">
        <w:rPr>
          <w:rFonts w:ascii="Times New Roman" w:hAnsi="Times New Roman" w:cs="Times New Roman"/>
          <w:sz w:val="24"/>
          <w:szCs w:val="24"/>
        </w:rPr>
        <w:t xml:space="preserve">meet the targeted population’s health needs </w:t>
      </w:r>
    </w:p>
    <w:p w:rsidR="00B8156F" w:rsidRPr="00343CA1" w:rsidP="00343CA1">
      <w:pPr>
        <w:spacing w:line="480" w:lineRule="auto"/>
        <w:ind w:firstLine="720"/>
        <w:rPr>
          <w:rFonts w:ascii="Times New Roman" w:hAnsi="Times New Roman" w:cs="Times New Roman"/>
          <w:sz w:val="24"/>
          <w:szCs w:val="24"/>
        </w:rPr>
      </w:pPr>
      <w:r w:rsidRPr="00343CA1">
        <w:rPr>
          <w:rFonts w:ascii="Times New Roman" w:hAnsi="Times New Roman" w:cs="Times New Roman"/>
          <w:sz w:val="24"/>
          <w:szCs w:val="24"/>
        </w:rPr>
        <w:t>Moving on to the next pillar of quadruple aim, it is important to note that one of the major challenges faced by many healthcare facilities is the calculation of per capita costs of the healthcare as it requires all expenditures of the healthcare captured, measured, and indexing these costs to the health care market. Based on Sakallaris et al.'s, 2016 research, the most prominent method for measuring actual costs are pricing and discounts</w:t>
      </w:r>
      <w:r w:rsidRPr="00343CA1" w:rsidR="00343CA1">
        <w:rPr>
          <w:rFonts w:ascii="Times New Roman" w:hAnsi="Times New Roman" w:cs="Times New Roman"/>
          <w:sz w:val="24"/>
          <w:szCs w:val="24"/>
        </w:rPr>
        <w:t xml:space="preserve"> (</w:t>
      </w:r>
      <w:r w:rsidRPr="00343CA1" w:rsidR="00343CA1">
        <w:rPr>
          <w:rFonts w:ascii="Times New Roman" w:hAnsi="Times New Roman" w:cs="Times New Roman"/>
          <w:color w:val="13242A"/>
          <w:sz w:val="24"/>
          <w:szCs w:val="24"/>
        </w:rPr>
        <w:t>Crabtree, et al. 2018</w:t>
      </w:r>
      <w:r w:rsidRPr="00343CA1" w:rsidR="00343CA1">
        <w:rPr>
          <w:rFonts w:ascii="Times New Roman" w:hAnsi="Times New Roman" w:cs="Times New Roman"/>
          <w:sz w:val="24"/>
          <w:szCs w:val="24"/>
        </w:rPr>
        <w:t>)</w:t>
      </w:r>
      <w:r w:rsidRPr="00343CA1">
        <w:rPr>
          <w:rFonts w:ascii="Times New Roman" w:hAnsi="Times New Roman" w:cs="Times New Roman"/>
          <w:sz w:val="24"/>
          <w:szCs w:val="24"/>
        </w:rPr>
        <w:t>. Therefore, for many health care fa</w:t>
      </w:r>
      <w:r w:rsidRPr="00343CA1">
        <w:rPr>
          <w:rFonts w:ascii="Times New Roman" w:hAnsi="Times New Roman" w:cs="Times New Roman"/>
          <w:sz w:val="24"/>
          <w:szCs w:val="24"/>
        </w:rPr>
        <w:t>cilities, it is a big provocation to provide quality and safe health care services at lower costs. When a healthcare facility uses the latest or modern technology in improving efficiency and modern methods of treatment as revealed via evidence-based practice, the costs, as well as the quality of health care, automatically increases.
</w:t>
      </w:r>
    </w:p>
    <w:p w:rsidR="008B1901" w:rsidRPr="008B1901" w:rsidP="008B1901">
      <w:pPr>
        <w:spacing w:line="480" w:lineRule="auto"/>
        <w:ind w:firstLine="720"/>
        <w:rPr>
          <w:rFonts w:ascii="Times New Roman" w:hAnsi="Times New Roman" w:cs="Times New Roman"/>
          <w:sz w:val="24"/>
          <w:szCs w:val="24"/>
        </w:rPr>
      </w:pPr>
      <w:r w:rsidRPr="00343CA1">
        <w:rPr>
          <w:rFonts w:ascii="Times New Roman" w:hAnsi="Times New Roman" w:cs="Times New Roman"/>
          <w:sz w:val="24"/>
          <w:szCs w:val="24"/>
        </w:rPr>
        <w:t xml:space="preserve">Lastly, the major components of a favorable health care environment should buttress inter-professional collaboration. Inter-professional collaboration has been proven to </w:t>
      </w:r>
      <w:r w:rsidRPr="00343CA1" w:rsidR="001B5FAE">
        <w:rPr>
          <w:rFonts w:ascii="Times New Roman" w:hAnsi="Times New Roman" w:cs="Times New Roman"/>
          <w:sz w:val="24"/>
          <w:szCs w:val="24"/>
        </w:rPr>
        <w:t xml:space="preserve">enhance patient health results and healthcare providers' satisfaction. It also lowers turnover rates and provider burnout, which promotes the productivity of the staff. The three main constituents of such environments include the policy and structural elements and actively engaging the </w:t>
      </w:r>
      <w:r>
        <w:rPr>
          <w:rFonts w:ascii="Times New Roman" w:hAnsi="Times New Roman" w:cs="Times New Roman"/>
          <w:sz w:val="24"/>
          <w:szCs w:val="24"/>
        </w:rPr>
        <w:t>staff in shared decision-making.</w:t>
      </w:r>
      <w:bookmarkStart w:id="0" w:name="_GoBack"/>
      <w:bookmarkEnd w:id="0"/>
    </w:p>
    <w:p w:rsidR="001B5FAE" w:rsidRPr="00343CA1" w:rsidP="00343CA1">
      <w:pPr>
        <w:pStyle w:val="NormalWeb"/>
        <w:shd w:val="clear" w:color="auto" w:fill="FFFFFF"/>
        <w:spacing w:before="0" w:beforeAutospacing="0" w:after="225" w:afterAutospacing="0" w:line="480" w:lineRule="auto"/>
        <w:jc w:val="center"/>
        <w:rPr>
          <w:color w:val="13242A"/>
        </w:rPr>
      </w:pPr>
      <w:r w:rsidRPr="00343CA1">
        <w:rPr>
          <w:color w:val="13242A"/>
        </w:rPr>
        <w:t>References</w:t>
      </w:r>
    </w:p>
    <w:p w:rsidR="001B5FAE" w:rsidRPr="00343CA1" w:rsidP="00343CA1">
      <w:pPr>
        <w:pStyle w:val="NormalWeb"/>
        <w:shd w:val="clear" w:color="auto" w:fill="FFFFFF"/>
        <w:spacing w:before="0" w:beforeAutospacing="0" w:after="225" w:afterAutospacing="0" w:line="480" w:lineRule="auto"/>
        <w:rPr>
          <w:color w:val="13242A"/>
        </w:rPr>
      </w:pPr>
      <w:r w:rsidRPr="00343CA1">
        <w:rPr>
          <w:color w:val="13242A"/>
        </w:rPr>
        <w:t>Bodenheimer, T., &amp; Sinsky, C. (2014). From triple to quadruple aim: care of the patient requires care of the provider. </w:t>
      </w:r>
      <w:r w:rsidRPr="00343CA1">
        <w:rPr>
          <w:rStyle w:val="Emphasis"/>
          <w:color w:val="13242A"/>
        </w:rPr>
        <w:t>The Annals of Family Medicine</w:t>
      </w:r>
      <w:r w:rsidRPr="00343CA1">
        <w:rPr>
          <w:color w:val="13242A"/>
        </w:rPr>
        <w:t>, </w:t>
      </w:r>
      <w:r w:rsidRPr="00343CA1">
        <w:rPr>
          <w:rStyle w:val="Emphasis"/>
          <w:color w:val="13242A"/>
        </w:rPr>
        <w:t>12</w:t>
      </w:r>
      <w:r w:rsidRPr="00343CA1">
        <w:rPr>
          <w:color w:val="13242A"/>
        </w:rPr>
        <w:t>(6), 573-576.</w:t>
      </w:r>
    </w:p>
    <w:p w:rsidR="001B5FAE" w:rsidRPr="00343CA1" w:rsidP="00343CA1">
      <w:pPr>
        <w:pStyle w:val="NormalWeb"/>
        <w:shd w:val="clear" w:color="auto" w:fill="FFFFFF"/>
        <w:spacing w:before="0" w:beforeAutospacing="0" w:after="225" w:afterAutospacing="0" w:line="480" w:lineRule="auto"/>
        <w:rPr>
          <w:color w:val="13242A"/>
        </w:rPr>
      </w:pPr>
      <w:r w:rsidRPr="00343CA1">
        <w:rPr>
          <w:color w:val="13242A"/>
        </w:rPr>
        <w:t>Crabtree, E., Brennan, E., Davis, A., &amp; Coyle, A. (2016). Improving Patient Care through Nursing Engagement in Evidence‐Based Practice. </w:t>
      </w:r>
      <w:r w:rsidRPr="00343CA1">
        <w:rPr>
          <w:rStyle w:val="Emphasis"/>
          <w:color w:val="13242A"/>
        </w:rPr>
        <w:t>Worldviews on Evidence‐Based Nursing</w:t>
      </w:r>
      <w:r w:rsidRPr="00343CA1">
        <w:rPr>
          <w:color w:val="13242A"/>
        </w:rPr>
        <w:t>, </w:t>
      </w:r>
      <w:r w:rsidRPr="00343CA1">
        <w:rPr>
          <w:rStyle w:val="Emphasis"/>
          <w:color w:val="13242A"/>
        </w:rPr>
        <w:t>13</w:t>
      </w:r>
      <w:r w:rsidRPr="00343CA1">
        <w:rPr>
          <w:color w:val="13242A"/>
        </w:rPr>
        <w:t>(2), 172-175.</w:t>
      </w:r>
    </w:p>
    <w:p w:rsidR="001B5FAE" w:rsidRPr="00343CA1" w:rsidP="00343CA1">
      <w:pPr>
        <w:pStyle w:val="NormalWeb"/>
        <w:shd w:val="clear" w:color="auto" w:fill="FFFFFF"/>
        <w:spacing w:before="0" w:beforeAutospacing="0" w:after="225" w:afterAutospacing="0" w:line="480" w:lineRule="auto"/>
        <w:rPr>
          <w:color w:val="13242A"/>
        </w:rPr>
      </w:pPr>
      <w:r w:rsidRPr="00343CA1">
        <w:rPr>
          <w:color w:val="13242A"/>
        </w:rPr>
        <w:t>Jacobs, B., McGovern, J., Heinmiller, J., &amp; Drenkard, K. (2018). Engaging employees in well-being: moving from the triple aim to the quadruple aim. </w:t>
      </w:r>
      <w:r w:rsidRPr="00343CA1">
        <w:rPr>
          <w:rStyle w:val="Emphasis"/>
          <w:color w:val="13242A"/>
        </w:rPr>
        <w:t>Nursing administration quarterly</w:t>
      </w:r>
      <w:r w:rsidRPr="00343CA1">
        <w:rPr>
          <w:color w:val="13242A"/>
        </w:rPr>
        <w:t>, </w:t>
      </w:r>
      <w:r w:rsidRPr="00343CA1">
        <w:rPr>
          <w:rStyle w:val="Emphasis"/>
          <w:color w:val="13242A"/>
        </w:rPr>
        <w:t>42</w:t>
      </w:r>
      <w:r w:rsidRPr="00343CA1">
        <w:rPr>
          <w:color w:val="13242A"/>
        </w:rPr>
        <w:t>(3), 231-245 Assignment: Evidence-Based Practice and the Quadruple Aim sample essay.</w:t>
      </w:r>
    </w:p>
    <w:p w:rsidR="001B5FAE" w:rsidRPr="00343CA1" w:rsidP="00343CA1">
      <w:pPr>
        <w:pStyle w:val="NormalWeb"/>
        <w:shd w:val="clear" w:color="auto" w:fill="FFFFFF"/>
        <w:spacing w:before="0" w:beforeAutospacing="0" w:after="225" w:afterAutospacing="0" w:line="480" w:lineRule="auto"/>
        <w:rPr>
          <w:color w:val="13242A"/>
        </w:rPr>
      </w:pPr>
      <w:r w:rsidRPr="00343CA1">
        <w:rPr>
          <w:color w:val="13242A"/>
        </w:rPr>
        <w:t>Sakallaris, B. R., Miller, W. L., Saper, R., Jo Kreitzer, M., &amp; Jonas, W. (2016). Meeting the challenge of a more person-centered future for US healthcare. </w:t>
      </w:r>
      <w:r w:rsidRPr="00343CA1">
        <w:rPr>
          <w:rStyle w:val="Emphasis"/>
          <w:color w:val="13242A"/>
        </w:rPr>
        <w:t>Global advances in health and medicine</w:t>
      </w:r>
      <w:r w:rsidRPr="00343CA1">
        <w:rPr>
          <w:color w:val="13242A"/>
        </w:rPr>
        <w:t>, </w:t>
      </w:r>
      <w:r w:rsidRPr="00343CA1">
        <w:rPr>
          <w:rStyle w:val="Emphasis"/>
          <w:color w:val="13242A"/>
        </w:rPr>
        <w:t>5</w:t>
      </w:r>
      <w:r w:rsidRPr="00343CA1">
        <w:rPr>
          <w:color w:val="13242A"/>
        </w:rPr>
        <w:t>(1), 51-60.</w:t>
      </w:r>
    </w:p>
    <w:p w:rsidR="001B5FAE" w:rsidRPr="00343CA1" w:rsidP="00343CA1">
      <w:pPr>
        <w:pStyle w:val="NormalWeb"/>
        <w:shd w:val="clear" w:color="auto" w:fill="FFFFFF"/>
        <w:spacing w:before="0" w:beforeAutospacing="0" w:after="225" w:afterAutospacing="0" w:line="480" w:lineRule="auto"/>
        <w:rPr>
          <w:color w:val="13242A"/>
        </w:rPr>
      </w:pPr>
      <w:r w:rsidRPr="00343CA1">
        <w:rPr>
          <w:color w:val="13242A"/>
        </w:rPr>
        <w:t>William Jackson Epperson Md, M. B. A., Facmpe, S. F. C., &amp; Wilhoit, G. (2016). Provider burnout and patient engagement: the quadruple and quintuple aims. </w:t>
      </w:r>
      <w:r w:rsidRPr="00343CA1">
        <w:rPr>
          <w:rStyle w:val="Emphasis"/>
          <w:color w:val="13242A"/>
        </w:rPr>
        <w:t>The Journal of medical practice management: MPM</w:t>
      </w:r>
      <w:r w:rsidRPr="00343CA1">
        <w:rPr>
          <w:color w:val="13242A"/>
        </w:rPr>
        <w:t>, </w:t>
      </w:r>
      <w:r w:rsidRPr="00343CA1">
        <w:rPr>
          <w:rStyle w:val="Emphasis"/>
          <w:color w:val="13242A"/>
        </w:rPr>
        <w:t>31</w:t>
      </w:r>
      <w:r w:rsidRPr="00343CA1">
        <w:rPr>
          <w:color w:val="13242A"/>
        </w:rPr>
        <w:t>(6), 359. Assignment: Evidence-Based Practice and the Quadruple Aim sample essay</w:t>
      </w:r>
    </w:p>
    <w:p w:rsidR="001B5FAE" w:rsidRPr="00343CA1" w:rsidP="00343CA1">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822950"/>
      <w:docPartObj>
        <w:docPartGallery w:val="Page Numbers (Top of Page)"/>
        <w:docPartUnique/>
      </w:docPartObj>
    </w:sdtPr>
    <w:sdtEndPr>
      <w:rPr>
        <w:noProof/>
      </w:rPr>
    </w:sdtEndPr>
    <w:sdtContent>
      <w:p w:rsidR="00343CA1" w:rsidRPr="00343CA1" w:rsidP="00343CA1">
        <w:pPr>
          <w:spacing w:line="480" w:lineRule="auto"/>
          <w:jc w:val="center"/>
          <w:rPr>
            <w:rFonts w:ascii="Times New Roman" w:hAnsi="Times New Roman" w:cs="Times New Roman"/>
            <w:sz w:val="24"/>
            <w:szCs w:val="24"/>
          </w:rPr>
        </w:pPr>
        <w:r w:rsidRPr="00343CA1">
          <w:rPr>
            <w:rFonts w:ascii="Times New Roman" w:hAnsi="Times New Roman" w:cs="Times New Roman"/>
            <w:sz w:val="24"/>
            <w:szCs w:val="24"/>
          </w:rPr>
          <w:t>Running Head: EBPs AND THE QUADRUPLE AIM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B1901">
          <w:rPr>
            <w:noProof/>
          </w:rPr>
          <w:t>4</w:t>
        </w:r>
        <w:r>
          <w:rPr>
            <w:noProof/>
          </w:rPr>
          <w:fldChar w:fldCharType="end"/>
        </w:r>
      </w:p>
    </w:sdtContent>
  </w:sdt>
  <w:p w:rsidR="00343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081"/>
    <w:rsid w:val="001A5AE2"/>
    <w:rsid w:val="001B5FAE"/>
    <w:rsid w:val="00343CA1"/>
    <w:rsid w:val="003D1B26"/>
    <w:rsid w:val="004A0081"/>
    <w:rsid w:val="008B1901"/>
    <w:rsid w:val="00B03CE8"/>
    <w:rsid w:val="00B8156F"/>
    <w:rsid w:val="00B94A6F"/>
    <w:rsid w:val="00CE2EA2"/>
    <w:rsid w:val="00DD422D"/>
    <w:rsid w:val="00E15E82"/>
    <w:rsid w:val="00E42B6A"/>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A89997A-7A60-4EB0-9607-A2E8F9EF7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5F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5FAE"/>
    <w:rPr>
      <w:i/>
      <w:iCs/>
    </w:rPr>
  </w:style>
  <w:style w:type="paragraph" w:styleId="Header">
    <w:name w:val="header"/>
    <w:basedOn w:val="Normal"/>
    <w:link w:val="HeaderChar"/>
    <w:uiPriority w:val="99"/>
    <w:unhideWhenUsed/>
    <w:rsid w:val="00343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CA1"/>
  </w:style>
  <w:style w:type="paragraph" w:styleId="Footer">
    <w:name w:val="footer"/>
    <w:basedOn w:val="Normal"/>
    <w:link w:val="FooterChar"/>
    <w:uiPriority w:val="99"/>
    <w:unhideWhenUsed/>
    <w:rsid w:val="00343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2020-12-03T08:13:00Z</dcterms:created>
  <dcterms:modified xsi:type="dcterms:W3CDTF">2020-12-03T17:43:00Z</dcterms:modified>
</cp:coreProperties>
</file>